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BF37B" w14:textId="77777777" w:rsidR="00976EA0" w:rsidRPr="00976EA0" w:rsidRDefault="00976EA0" w:rsidP="00976EA0">
      <w:r w:rsidRPr="00976EA0">
        <w:rPr>
          <w:b/>
          <w:bCs/>
        </w:rPr>
        <w:t>Harmonisation of Space Weather Service Provision to ICAO</w:t>
      </w:r>
    </w:p>
    <w:p w14:paraId="2088B5E3" w14:textId="77777777" w:rsidR="00976EA0" w:rsidRPr="00976EA0" w:rsidRDefault="00976EA0" w:rsidP="00976EA0">
      <w:r w:rsidRPr="00976EA0">
        <w:t>Y. Maneva, K. Kauristie, R. Fiori and T. Laitinen</w:t>
      </w:r>
    </w:p>
    <w:p w14:paraId="37B69736" w14:textId="77777777" w:rsidR="00976EA0" w:rsidRPr="00976EA0" w:rsidRDefault="00976EA0" w:rsidP="00976EA0">
      <w:r w:rsidRPr="00976EA0">
        <w:t>The integration of space weather information into international civil aviation operations represents a significant milestone in aviation risk management. Since the inclusion of space weather advisories in Annex 3 to the Chicago Convention, the International Civil Aviation Organization (ICAO) has established a framework through which global Space Weather Centres provide operational advisories to support flight safety. As reliance on navigation and radio communication systems grows, the need for enhanced harmonisation and coordination of space weather service provision has become increasingly critical. </w:t>
      </w:r>
    </w:p>
    <w:p w14:paraId="72D3D2F9" w14:textId="1D58263F" w:rsidR="00976EA0" w:rsidRPr="00976EA0" w:rsidRDefault="00976EA0" w:rsidP="00976EA0">
      <w:r w:rsidRPr="00976EA0">
        <w:t>Differences in modelling approaches, underlying assets and data analysis methods can introduce variability in advisories</w:t>
      </w:r>
      <w:r>
        <w:t xml:space="preserve"> issued by </w:t>
      </w:r>
      <w:r w:rsidR="0032159E">
        <w:t>the four Global Space Weather Centers (GSWCs)</w:t>
      </w:r>
      <w:r w:rsidRPr="00976EA0">
        <w:t xml:space="preserve">, potentially affecting user confidence and operational decision-making. Furthermore, increasing solar activity and the evolving needs of high-latitude and long-haul operations with reduced vertical </w:t>
      </w:r>
      <w:r>
        <w:t xml:space="preserve">and horizontal </w:t>
      </w:r>
      <w:r w:rsidRPr="00976EA0">
        <w:t>separation underscore the importance of strengthened service provision.</w:t>
      </w:r>
    </w:p>
    <w:p w14:paraId="43518AED" w14:textId="14056623" w:rsidR="00976EA0" w:rsidRPr="00976EA0" w:rsidRDefault="00976EA0" w:rsidP="00976EA0">
      <w:r w:rsidRPr="00976EA0">
        <w:t>Here we discuss the ongoing efforts conducted within the ICAO</w:t>
      </w:r>
      <w:r>
        <w:t xml:space="preserve"> Working Group on Meteorological Operations</w:t>
      </w:r>
      <w:r w:rsidRPr="00976EA0">
        <w:t xml:space="preserve"> </w:t>
      </w:r>
      <w:r>
        <w:t>Group (WG-MOG)</w:t>
      </w:r>
      <w:r w:rsidRPr="00976EA0">
        <w:t xml:space="preserve"> Space Weather </w:t>
      </w:r>
      <w:r>
        <w:t xml:space="preserve">(SWX) Centre Coordination Group (SWXCCG) </w:t>
      </w:r>
      <w:r w:rsidR="0032159E">
        <w:t xml:space="preserve">sub-team </w:t>
      </w:r>
      <w:r w:rsidRPr="00976EA0">
        <w:t xml:space="preserve">on advisory consistency. The </w:t>
      </w:r>
      <w:r w:rsidR="0032159E">
        <w:t>sub-team</w:t>
      </w:r>
      <w:r w:rsidRPr="00976EA0">
        <w:t xml:space="preserve"> is tasked with providing guidance and coordinating efforts in delivering consistent, timely, and operationally</w:t>
      </w:r>
      <w:r w:rsidR="0032159E">
        <w:t xml:space="preserve"> </w:t>
      </w:r>
      <w:r w:rsidRPr="00976EA0">
        <w:t xml:space="preserve">relevant space weather information to </w:t>
      </w:r>
      <w:r w:rsidR="0032159E">
        <w:t>aviation users</w:t>
      </w:r>
      <w:r w:rsidRPr="00976EA0">
        <w:t>. </w:t>
      </w:r>
    </w:p>
    <w:p w14:paraId="2A4B724D" w14:textId="24DF15E8" w:rsidR="00976EA0" w:rsidRPr="00976EA0" w:rsidRDefault="00976EA0" w:rsidP="00976EA0">
      <w:proofErr w:type="gramStart"/>
      <w:r w:rsidRPr="00976EA0">
        <w:t>Particular attention</w:t>
      </w:r>
      <w:proofErr w:type="gramEnd"/>
      <w:r w:rsidRPr="00976EA0">
        <w:t xml:space="preserve"> is given to harmonize service definitions, coordinat</w:t>
      </w:r>
      <w:r w:rsidR="0032159E">
        <w:t>e</w:t>
      </w:r>
      <w:r w:rsidRPr="00976EA0">
        <w:t xml:space="preserve"> efforts to ensure sufficient similarity in the underlying datasets and models, unif</w:t>
      </w:r>
      <w:r w:rsidR="0032159E">
        <w:t>y</w:t>
      </w:r>
      <w:r w:rsidRPr="00976EA0">
        <w:t xml:space="preserve"> </w:t>
      </w:r>
      <w:r w:rsidR="0032159E">
        <w:t>event reporting</w:t>
      </w:r>
      <w:r w:rsidRPr="00976EA0">
        <w:t xml:space="preserve"> and </w:t>
      </w:r>
      <w:r w:rsidR="0032159E">
        <w:t xml:space="preserve">to </w:t>
      </w:r>
      <w:r w:rsidRPr="00976EA0">
        <w:t>cross-centre contingency arrangements. Further discussion is provided on possible steps toward building shared data exchange platforms and the expected benefits for service provision.</w:t>
      </w:r>
    </w:p>
    <w:p w14:paraId="7B8E9FCA" w14:textId="77777777" w:rsidR="008D50FE" w:rsidRDefault="008D50FE"/>
    <w:sectPr w:rsidR="008D50FE">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A2D2D" w14:textId="77777777" w:rsidR="00A626AA" w:rsidRDefault="00A626AA" w:rsidP="0032159E">
      <w:pPr>
        <w:spacing w:after="0" w:line="240" w:lineRule="auto"/>
      </w:pPr>
      <w:r>
        <w:separator/>
      </w:r>
    </w:p>
  </w:endnote>
  <w:endnote w:type="continuationSeparator" w:id="0">
    <w:p w14:paraId="31A4E2FE" w14:textId="77777777" w:rsidR="00A626AA" w:rsidRDefault="00A626AA" w:rsidP="00321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871A3" w14:textId="77777777" w:rsidR="00A626AA" w:rsidRDefault="00A626AA" w:rsidP="0032159E">
      <w:pPr>
        <w:spacing w:after="0" w:line="240" w:lineRule="auto"/>
      </w:pPr>
      <w:r>
        <w:separator/>
      </w:r>
    </w:p>
  </w:footnote>
  <w:footnote w:type="continuationSeparator" w:id="0">
    <w:p w14:paraId="0BC1B98E" w14:textId="77777777" w:rsidR="00A626AA" w:rsidRDefault="00A626AA" w:rsidP="00321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2BA8" w14:textId="52092EBD" w:rsidR="0032159E" w:rsidRDefault="0032159E">
    <w:pPr>
      <w:pStyle w:val="Header"/>
    </w:pPr>
    <w:r>
      <w:rPr>
        <w:noProof/>
      </w:rPr>
      <mc:AlternateContent>
        <mc:Choice Requires="wps">
          <w:drawing>
            <wp:anchor distT="0" distB="0" distL="0" distR="0" simplePos="0" relativeHeight="251659264" behindDoc="0" locked="0" layoutInCell="1" allowOverlap="1" wp14:anchorId="4552EA5E" wp14:editId="76F79CDE">
              <wp:simplePos x="635" y="635"/>
              <wp:positionH relativeFrom="page">
                <wp:align>right</wp:align>
              </wp:positionH>
              <wp:positionV relativeFrom="page">
                <wp:align>top</wp:align>
              </wp:positionV>
              <wp:extent cx="2420620" cy="405765"/>
              <wp:effectExtent l="0" t="0" r="0" b="13335"/>
              <wp:wrapNone/>
              <wp:docPr id="295472415"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405765"/>
                      </a:xfrm>
                      <a:prstGeom prst="rect">
                        <a:avLst/>
                      </a:prstGeom>
                      <a:noFill/>
                      <a:ln>
                        <a:noFill/>
                      </a:ln>
                    </wps:spPr>
                    <wps:txbx>
                      <w:txbxContent>
                        <w:p w14:paraId="7B8C8D63" w14:textId="5A190EF1" w:rsidR="0032159E" w:rsidRPr="0032159E" w:rsidRDefault="0032159E" w:rsidP="0032159E">
                          <w:pPr>
                            <w:spacing w:after="0"/>
                            <w:rPr>
                              <w:rFonts w:ascii="Aptos" w:eastAsia="Aptos" w:hAnsi="Aptos" w:cs="Aptos"/>
                              <w:noProof/>
                              <w:color w:val="000000"/>
                            </w:rPr>
                          </w:pPr>
                          <w:r w:rsidRPr="0032159E">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552EA5E" id="_x0000_t202" coordsize="21600,21600" o:spt="202" path="m,l,21600r21600,l21600,xe">
              <v:stroke joinstyle="miter"/>
              <v:path gradientshapeok="t" o:connecttype="rect"/>
            </v:shapetype>
            <v:shape id="Text Box 2" o:spid="_x0000_s1026" type="#_x0000_t202" alt="UNCLASSIFIED - NON CLASSIFIÉ" style="position:absolute;margin-left:139.4pt;margin-top:0;width:190.6pt;height:31.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" filled="f" stroked="f">
              <v:fill o:detectmouseclick="t"/>
              <v:textbox style="mso-fit-shape-to-text:t" inset="0,15pt,20pt,0">
                <w:txbxContent>
                  <w:p w14:paraId="7B8C8D63" w14:textId="5A190EF1" w:rsidR="0032159E" w:rsidRPr="0032159E" w:rsidRDefault="0032159E" w:rsidP="0032159E">
                    <w:pPr>
                      <w:spacing w:after="0"/>
                      <w:rPr>
                        <w:rFonts w:ascii="Aptos" w:eastAsia="Aptos" w:hAnsi="Aptos" w:cs="Aptos"/>
                        <w:noProof/>
                        <w:color w:val="000000"/>
                      </w:rPr>
                    </w:pPr>
                    <w:r w:rsidRPr="0032159E">
                      <w:rPr>
                        <w:rFonts w:ascii="Aptos" w:eastAsia="Aptos" w:hAnsi="Aptos" w:cs="Aptos"/>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7F7A" w14:textId="7516BC97" w:rsidR="0032159E" w:rsidRDefault="0032159E">
    <w:pPr>
      <w:pStyle w:val="Header"/>
    </w:pPr>
    <w:r>
      <w:rPr>
        <w:noProof/>
      </w:rPr>
      <mc:AlternateContent>
        <mc:Choice Requires="wps">
          <w:drawing>
            <wp:anchor distT="0" distB="0" distL="0" distR="0" simplePos="0" relativeHeight="251660288" behindDoc="0" locked="0" layoutInCell="1" allowOverlap="1" wp14:anchorId="044DE1E6" wp14:editId="7E3D7830">
              <wp:simplePos x="914400" y="449580"/>
              <wp:positionH relativeFrom="page">
                <wp:align>right</wp:align>
              </wp:positionH>
              <wp:positionV relativeFrom="page">
                <wp:align>top</wp:align>
              </wp:positionV>
              <wp:extent cx="2420620" cy="405765"/>
              <wp:effectExtent l="0" t="0" r="0" b="13335"/>
              <wp:wrapNone/>
              <wp:docPr id="2023206967"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405765"/>
                      </a:xfrm>
                      <a:prstGeom prst="rect">
                        <a:avLst/>
                      </a:prstGeom>
                      <a:noFill/>
                      <a:ln>
                        <a:noFill/>
                      </a:ln>
                    </wps:spPr>
                    <wps:txbx>
                      <w:txbxContent>
                        <w:p w14:paraId="5565BA76" w14:textId="3AAF275F" w:rsidR="0032159E" w:rsidRPr="0032159E" w:rsidRDefault="0032159E" w:rsidP="0032159E">
                          <w:pPr>
                            <w:spacing w:after="0"/>
                            <w:rPr>
                              <w:rFonts w:ascii="Aptos" w:eastAsia="Aptos" w:hAnsi="Aptos" w:cs="Aptos"/>
                              <w:noProof/>
                              <w:color w:val="000000"/>
                            </w:rPr>
                          </w:pPr>
                          <w:r w:rsidRPr="0032159E">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44DE1E6" id="_x0000_t202" coordsize="21600,21600" o:spt="202" path="m,l,21600r21600,l21600,xe">
              <v:stroke joinstyle="miter"/>
              <v:path gradientshapeok="t" o:connecttype="rect"/>
            </v:shapetype>
            <v:shape id="Text Box 3" o:spid="_x0000_s1027" type="#_x0000_t202" alt="UNCLASSIFIED - NON CLASSIFIÉ" style="position:absolute;margin-left:139.4pt;margin-top:0;width:190.6pt;height:31.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" filled="f" stroked="f">
              <v:fill o:detectmouseclick="t"/>
              <v:textbox style="mso-fit-shape-to-text:t" inset="0,15pt,20pt,0">
                <w:txbxContent>
                  <w:p w14:paraId="5565BA76" w14:textId="3AAF275F" w:rsidR="0032159E" w:rsidRPr="0032159E" w:rsidRDefault="0032159E" w:rsidP="0032159E">
                    <w:pPr>
                      <w:spacing w:after="0"/>
                      <w:rPr>
                        <w:rFonts w:ascii="Aptos" w:eastAsia="Aptos" w:hAnsi="Aptos" w:cs="Aptos"/>
                        <w:noProof/>
                        <w:color w:val="000000"/>
                      </w:rPr>
                    </w:pPr>
                    <w:r w:rsidRPr="0032159E">
                      <w:rPr>
                        <w:rFonts w:ascii="Aptos" w:eastAsia="Aptos" w:hAnsi="Aptos" w:cs="Aptos"/>
                        <w:noProof/>
                        <w:color w:val="00000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544E" w14:textId="3F618DC5" w:rsidR="0032159E" w:rsidRDefault="0032159E">
    <w:pPr>
      <w:pStyle w:val="Header"/>
    </w:pPr>
    <w:r>
      <w:rPr>
        <w:noProof/>
      </w:rPr>
      <mc:AlternateContent>
        <mc:Choice Requires="wps">
          <w:drawing>
            <wp:anchor distT="0" distB="0" distL="0" distR="0" simplePos="0" relativeHeight="251658240" behindDoc="0" locked="0" layoutInCell="1" allowOverlap="1" wp14:anchorId="1C888959" wp14:editId="3AA5E98A">
              <wp:simplePos x="635" y="635"/>
              <wp:positionH relativeFrom="page">
                <wp:align>right</wp:align>
              </wp:positionH>
              <wp:positionV relativeFrom="page">
                <wp:align>top</wp:align>
              </wp:positionV>
              <wp:extent cx="2420620" cy="405765"/>
              <wp:effectExtent l="0" t="0" r="0" b="13335"/>
              <wp:wrapNone/>
              <wp:docPr id="1541096201"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405765"/>
                      </a:xfrm>
                      <a:prstGeom prst="rect">
                        <a:avLst/>
                      </a:prstGeom>
                      <a:noFill/>
                      <a:ln>
                        <a:noFill/>
                      </a:ln>
                    </wps:spPr>
                    <wps:txbx>
                      <w:txbxContent>
                        <w:p w14:paraId="02B67CE1" w14:textId="2DE17A70" w:rsidR="0032159E" w:rsidRPr="0032159E" w:rsidRDefault="0032159E" w:rsidP="0032159E">
                          <w:pPr>
                            <w:spacing w:after="0"/>
                            <w:rPr>
                              <w:rFonts w:ascii="Aptos" w:eastAsia="Aptos" w:hAnsi="Aptos" w:cs="Aptos"/>
                              <w:noProof/>
                              <w:color w:val="000000"/>
                            </w:rPr>
                          </w:pPr>
                          <w:r w:rsidRPr="0032159E">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C888959" id="_x0000_t202" coordsize="21600,21600" o:spt="202" path="m,l,21600r21600,l21600,xe">
              <v:stroke joinstyle="miter"/>
              <v:path gradientshapeok="t" o:connecttype="rect"/>
            </v:shapetype>
            <v:shape id="Text Box 1" o:spid="_x0000_s1028" type="#_x0000_t202" alt="UNCLASSIFIED - NON CLASSIFIÉ" style="position:absolute;margin-left:139.4pt;margin-top:0;width:190.6pt;height:31.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" filled="f" stroked="f">
              <v:fill o:detectmouseclick="t"/>
              <v:textbox style="mso-fit-shape-to-text:t" inset="0,15pt,20pt,0">
                <w:txbxContent>
                  <w:p w14:paraId="02B67CE1" w14:textId="2DE17A70" w:rsidR="0032159E" w:rsidRPr="0032159E" w:rsidRDefault="0032159E" w:rsidP="0032159E">
                    <w:pPr>
                      <w:spacing w:after="0"/>
                      <w:rPr>
                        <w:rFonts w:ascii="Aptos" w:eastAsia="Aptos" w:hAnsi="Aptos" w:cs="Aptos"/>
                        <w:noProof/>
                        <w:color w:val="000000"/>
                      </w:rPr>
                    </w:pPr>
                    <w:r w:rsidRPr="0032159E">
                      <w:rPr>
                        <w:rFonts w:ascii="Aptos" w:eastAsia="Aptos" w:hAnsi="Aptos" w:cs="Aptos"/>
                        <w:noProof/>
                        <w:color w:val="00000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A0"/>
    <w:rsid w:val="00087D04"/>
    <w:rsid w:val="001241A5"/>
    <w:rsid w:val="0032159E"/>
    <w:rsid w:val="00562E95"/>
    <w:rsid w:val="005D5D28"/>
    <w:rsid w:val="007853DF"/>
    <w:rsid w:val="008D50FE"/>
    <w:rsid w:val="00976EA0"/>
    <w:rsid w:val="00A626AA"/>
    <w:rsid w:val="00B1341F"/>
    <w:rsid w:val="00E30D89"/>
    <w:rsid w:val="00FA6966"/>
    <w:rsid w:val="00FF6E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9E34C"/>
  <w15:chartTrackingRefBased/>
  <w15:docId w15:val="{EA66C1B7-43C9-4F20-B882-E33EA3E9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EA0"/>
    <w:rPr>
      <w:rFonts w:eastAsiaTheme="majorEastAsia" w:cstheme="majorBidi"/>
      <w:color w:val="272727" w:themeColor="text1" w:themeTint="D8"/>
    </w:rPr>
  </w:style>
  <w:style w:type="paragraph" w:styleId="Title">
    <w:name w:val="Title"/>
    <w:basedOn w:val="Normal"/>
    <w:next w:val="Normal"/>
    <w:link w:val="TitleChar"/>
    <w:uiPriority w:val="10"/>
    <w:qFormat/>
    <w:rsid w:val="00976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EA0"/>
    <w:pPr>
      <w:spacing w:before="160"/>
      <w:jc w:val="center"/>
    </w:pPr>
    <w:rPr>
      <w:i/>
      <w:iCs/>
      <w:color w:val="404040" w:themeColor="text1" w:themeTint="BF"/>
    </w:rPr>
  </w:style>
  <w:style w:type="character" w:customStyle="1" w:styleId="QuoteChar">
    <w:name w:val="Quote Char"/>
    <w:basedOn w:val="DefaultParagraphFont"/>
    <w:link w:val="Quote"/>
    <w:uiPriority w:val="29"/>
    <w:rsid w:val="00976EA0"/>
    <w:rPr>
      <w:i/>
      <w:iCs/>
      <w:color w:val="404040" w:themeColor="text1" w:themeTint="BF"/>
    </w:rPr>
  </w:style>
  <w:style w:type="paragraph" w:styleId="ListParagraph">
    <w:name w:val="List Paragraph"/>
    <w:basedOn w:val="Normal"/>
    <w:uiPriority w:val="34"/>
    <w:qFormat/>
    <w:rsid w:val="00976EA0"/>
    <w:pPr>
      <w:ind w:left="720"/>
      <w:contextualSpacing/>
    </w:pPr>
  </w:style>
  <w:style w:type="character" w:styleId="IntenseEmphasis">
    <w:name w:val="Intense Emphasis"/>
    <w:basedOn w:val="DefaultParagraphFont"/>
    <w:uiPriority w:val="21"/>
    <w:qFormat/>
    <w:rsid w:val="00976EA0"/>
    <w:rPr>
      <w:i/>
      <w:iCs/>
      <w:color w:val="0F4761" w:themeColor="accent1" w:themeShade="BF"/>
    </w:rPr>
  </w:style>
  <w:style w:type="paragraph" w:styleId="IntenseQuote">
    <w:name w:val="Intense Quote"/>
    <w:basedOn w:val="Normal"/>
    <w:next w:val="Normal"/>
    <w:link w:val="IntenseQuoteChar"/>
    <w:uiPriority w:val="30"/>
    <w:qFormat/>
    <w:rsid w:val="00976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EA0"/>
    <w:rPr>
      <w:i/>
      <w:iCs/>
      <w:color w:val="0F4761" w:themeColor="accent1" w:themeShade="BF"/>
    </w:rPr>
  </w:style>
  <w:style w:type="character" w:styleId="IntenseReference">
    <w:name w:val="Intense Reference"/>
    <w:basedOn w:val="DefaultParagraphFont"/>
    <w:uiPriority w:val="32"/>
    <w:qFormat/>
    <w:rsid w:val="00976EA0"/>
    <w:rPr>
      <w:b/>
      <w:bCs/>
      <w:smallCaps/>
      <w:color w:val="0F4761" w:themeColor="accent1" w:themeShade="BF"/>
      <w:spacing w:val="5"/>
    </w:rPr>
  </w:style>
  <w:style w:type="paragraph" w:styleId="Revision">
    <w:name w:val="Revision"/>
    <w:hidden/>
    <w:uiPriority w:val="99"/>
    <w:semiHidden/>
    <w:rsid w:val="00976EA0"/>
    <w:pPr>
      <w:spacing w:after="0" w:line="240" w:lineRule="auto"/>
    </w:pPr>
  </w:style>
  <w:style w:type="paragraph" w:styleId="Header">
    <w:name w:val="header"/>
    <w:basedOn w:val="Normal"/>
    <w:link w:val="HeaderChar"/>
    <w:uiPriority w:val="99"/>
    <w:unhideWhenUsed/>
    <w:rsid w:val="003215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19619fd-75dc-48cb-820d-8f683a95dd8b}" enabled="1" method="Privileged" siteId="{05c95b33-90ca-49d5-b644-288b930b912b}"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Fiori, Robyn (she, her | elle, elle)</dc:creator>
  <cp:keywords/>
  <dc:description/>
  <cp:lastModifiedBy>Yana Maneva</cp:lastModifiedBy>
  <cp:revision>2</cp:revision>
  <dcterms:created xsi:type="dcterms:W3CDTF">2026-02-21T18:11:00Z</dcterms:created>
  <dcterms:modified xsi:type="dcterms:W3CDTF">2026-02-21T18:11:00Z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5bdb4309,119c8d1f,7897b037</vt:lpwstr>
  </property>
  <property fmtid="{D5CDD505-2E9C-101B-9397-08002B2CF9AE}" pid="3" name="ClassificationContentMarkingHeaderFontProps">
    <vt:lpwstr>#000000,12,Aptos</vt:lpwstr>
  </property>
  <property fmtid="{D5CDD505-2E9C-101B-9397-08002B2CF9AE}" pid="4" name="ClassificationContentMarkingHeaderText">
    <vt:lpwstr>UNCLASSIFIED - NON CLASSIFIÉ</vt:lpwstr>
  </property>
</Properties>
</file>